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</w:pPr>
      <w:r>
        <w:rPr>
          <w:sz w:val="24"/>
        </w:rPr>
        <w:t xml:space="preserve">Зарегистрировано в Минюсте России 10 декабря 2024 г. N 80515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4"/>
        </w:rPr>
        <w:t xml:space="preserve">N 787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СЛУЖБА ПО НАДЗОРУ В СФЕРЕ ОБРАЗОВАНИЯ И НАУКИ</w:t>
      </w:r>
    </w:p>
    <w:p>
      <w:pPr>
        <w:pStyle w:val="2"/>
        <w:jc w:val="center"/>
      </w:pPr>
      <w:r>
        <w:rPr>
          <w:sz w:val="24"/>
        </w:rPr>
        <w:t xml:space="preserve">N 2089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11 ноября 2024 года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ЕДИНОГО РАСПИСАНИЯ И ПРОДОЛЖИТЕЛЬНОСТИ</w:t>
      </w:r>
    </w:p>
    <w:p>
      <w:pPr>
        <w:pStyle w:val="2"/>
        <w:jc w:val="center"/>
      </w:pPr>
      <w:r>
        <w:rPr>
          <w:sz w:val="24"/>
        </w:rPr>
        <w:t xml:space="preserve">ПРОВЕДЕНИЯ ЕДИНОГО ГОСУДАРСТВЕННОГО ЭКЗАМЕНА ПО КАЖДОМУ</w:t>
      </w:r>
    </w:p>
    <w:p>
      <w:pPr>
        <w:pStyle w:val="2"/>
        <w:jc w:val="center"/>
      </w:pPr>
      <w:r>
        <w:rPr>
          <w:sz w:val="24"/>
        </w:rPr>
        <w:t xml:space="preserve">УЧЕБНОМУ ПРЕДМЕТУ, ТРЕБОВАНИЙ К ИСПОЛЬЗОВАНИЮ СРЕДСТВ</w:t>
      </w:r>
    </w:p>
    <w:p>
      <w:pPr>
        <w:pStyle w:val="2"/>
        <w:jc w:val="center"/>
      </w:pPr>
      <w:r>
        <w:rPr>
          <w:sz w:val="24"/>
        </w:rPr>
        <w:t xml:space="preserve">ОБУЧЕНИЯ И ВОСПИТАНИЯ ПРИ ЕГО ПРОВЕДЕНИИ В 2025 ГОДУ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6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sz w:val="24"/>
            <w:color w:val="0000ff"/>
          </w:rPr>
          <w:t xml:space="preserve">частью 5 статьи 59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Федерации", </w:t>
      </w:r>
      <w:hyperlink w:history="0" r:id="rId7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подпунктом 4.2.25 пункта 4</w:t>
        </w:r>
      </w:hyperlink>
      <w:r>
        <w:rPr>
          <w:sz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w:history="0" r:id="rId8" w:tooltip="Постановление Правительства РФ от 28.07.2018 N 885 (ред. от 07.03.2025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(с изм. и доп., вступ. в силу с 01.04.2025) {КонсультантПлюс}">
        <w:r>
          <w:rPr>
            <w:sz w:val="24"/>
            <w:color w:val="0000ff"/>
          </w:rPr>
          <w:t xml:space="preserve">подпунктом 5.2.7 пункта 5</w:t>
        </w:r>
      </w:hyperlink>
      <w:r>
        <w:rPr>
          <w:sz w:val="24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следующее расписание проведения единого государственного экзамена (далее - ЕГЭ) в 2025 году: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Для лиц, указанных в </w:t>
      </w:r>
      <w:hyperlink w:history="0" r:id="rId9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4"/>
            <w:color w:val="0000ff"/>
          </w:rPr>
          <w:t xml:space="preserve">пунктах 6</w:t>
        </w:r>
      </w:hyperlink>
      <w:r>
        <w:rPr>
          <w:sz w:val="24"/>
        </w:rPr>
        <w:t xml:space="preserve">, </w:t>
      </w:r>
      <w:hyperlink w:history="0" r:id="rId10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 и </w:t>
      </w:r>
      <w:hyperlink w:history="0" r:id="rId11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4"/>
            <w:color w:val="0000ff"/>
          </w:rPr>
          <w:t xml:space="preserve">14</w:t>
        </w:r>
      </w:hyperlink>
      <w:r>
        <w:rPr>
          <w:sz w:val="24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233/552 (зарегистрирован Министерством юстиции Российской Федерации 15 мая 2023 г., регистрационный N 73314), с изменениями, внесенными приказом Министерства просвещения Российской Федерации и Федеральной службы по надзору в сфере образования и науки от 12 апреля 2024 г. N 243/802 (зарегистрирован Министерством юстиции Российской Федерации 19 апреля 2024 г., регистрационный N 77936) (далее - Порядок проведения ГИА), за исключением выпускников прошлых лет: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 мая (пятница) - история, литература, химия;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 мая (вторник) - ЕГЭ по математике базового уровня, ЕГЭ по математике профильного уровня;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 мая (пятница) - русский язык;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 июня (понедельник) - обществознание, физика;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 июня (четверг) - биология, география, иностранные языки (английский, испанский, китайский, немецкий, французский) (письменная часть);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 июня (вторник) - иностранные языки (английский, испанский, китайский, немецкий, французский) (устная часть), информатика;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 июня (среда) - иностранные языки (английский, испанский, китайский, немецкий, французский) (устная часть), информатика.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Для лиц, указанных в </w:t>
      </w:r>
      <w:hyperlink w:history="0" r:id="rId12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4"/>
            <w:color w:val="0000ff"/>
          </w:rPr>
          <w:t xml:space="preserve">пунктах 49</w:t>
        </w:r>
      </w:hyperlink>
      <w:r>
        <w:rPr>
          <w:sz w:val="24"/>
        </w:rPr>
        <w:t xml:space="preserve">, </w:t>
      </w:r>
      <w:hyperlink w:history="0" r:id="rId13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4"/>
            <w:color w:val="0000ff"/>
          </w:rPr>
          <w:t xml:space="preserve">55</w:t>
        </w:r>
      </w:hyperlink>
      <w:r>
        <w:rPr>
          <w:sz w:val="24"/>
        </w:rPr>
        <w:t xml:space="preserve"> и </w:t>
      </w:r>
      <w:hyperlink w:history="0" r:id="rId14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4"/>
            <w:color w:val="0000ff"/>
          </w:rPr>
          <w:t xml:space="preserve">93</w:t>
        </w:r>
      </w:hyperlink>
      <w:r>
        <w:rPr>
          <w:sz w:val="24"/>
        </w:rPr>
        <w:t xml:space="preserve"> Порядка проведения ГИА: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 апреля (понедельник) - русский язык;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 апреля (четверг) - ЕГЭ по математике базового уровня, ЕГЭ по математике профильного уровня;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 апреля (пятница) -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 апреля (понедельник) - география, иностранные языки (английский, испанский, китайский, немецкий, французский) (устная часть), информатика, история, химия;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 июня (понедельник) - география, литература, обществознание, физика;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 июня (вторник) - русский язык;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 июня (среда) - иностранные языки (английский, испанский, китайский, немецкий, французский) (устная часть), история, химия;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 июня (четверг) - биология, иностранные языки (английский, испанский, китайский, немецкий, французский) (письменная часть), информатика;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 июня (пятница) - ЕГЭ по математике базового уровня, ЕГЭ по математике профильного уровня;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 июня (понедельник) - по всем учебным предметам;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 сентября (вторник) - ЕГЭ по математике базового уровня, русский язык.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Для лиц, указанных в </w:t>
      </w:r>
      <w:hyperlink w:history="0" r:id="rId15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4"/>
            <w:color w:val="0000ff"/>
          </w:rPr>
          <w:t xml:space="preserve">пункте 50</w:t>
        </w:r>
      </w:hyperlink>
      <w:r>
        <w:rPr>
          <w:sz w:val="24"/>
        </w:rPr>
        <w:t xml:space="preserve"> Порядка проведения ГИА: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 марта (пятница) - география, литература;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 марта (вторник) - русский язык;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 марта (пятница) - ЕГЭ по математике базового уровня, ЕГЭ по математике профильного уровня;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 апреля (вторник) - биология, иностранные языки (английский, испанский, китайский, немецкий, французский) (письменная часть), физика;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 апреля (пятница) - иностранные языки (английский, испанский, китайский, немецкий, французский) (устная часть);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 апреля (вторник) - информатика, обществознание;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 апреля (пятница) - история, химия.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Для лиц, указанных в </w:t>
      </w:r>
      <w:hyperlink w:history="0" r:id="rId16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4"/>
            <w:color w:val="0000ff"/>
          </w:rPr>
          <w:t xml:space="preserve">пункте 51</w:t>
        </w:r>
      </w:hyperlink>
      <w:r>
        <w:rPr>
          <w:sz w:val="24"/>
        </w:rPr>
        <w:t xml:space="preserve"> Порядка проведения ГИА: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 июня (понедельник) - география, литература, обществознание, физика;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 июня (вторник) - русский язык;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 июня (среда) - иностранные языки (английский, испанский, китайский, немецкий, французский) (устная часть), история, химия;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 июня (четверг) - биология, иностранные языки (английский, испанский, китайский, немецкий, французский) (письменная часть), информатика;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 июня (пятница) - ЕГЭ по математике профильного уровня;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 июня (понедельник) - по всем учебным предметам.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Для лиц, указанных в </w:t>
      </w:r>
      <w:hyperlink w:history="0" r:id="rId17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4"/>
            <w:color w:val="0000ff"/>
          </w:rPr>
          <w:t xml:space="preserve">пункте 94</w:t>
        </w:r>
      </w:hyperlink>
      <w:r>
        <w:rPr>
          <w:sz w:val="24"/>
        </w:rPr>
        <w:t xml:space="preserve"> Порядка проведения ГИА: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 сентября (четверг) - русский язык;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 сентября (понедельник) - ЕГЭ по математике базового уровня.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 Для лиц, указанных в </w:t>
      </w:r>
      <w:hyperlink w:history="0" r:id="rId18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4"/>
            <w:color w:val="0000ff"/>
          </w:rPr>
          <w:t xml:space="preserve">пункте 97(1)</w:t>
        </w:r>
      </w:hyperlink>
      <w:r>
        <w:rPr>
          <w:sz w:val="24"/>
        </w:rPr>
        <w:t xml:space="preserve"> Порядка проведения ГИА: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 июля (четверг) - иностранные языки (английский, испанский, китайский, немецкий, французский) (письменная часть), информатика, литература, русский язык, физика, химия;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 июля (пятница) -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обществознание.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Установить, что: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 ЕГЭ по всем учебным предметам начинается в 10.00 по местному времени.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Продолжительность ЕГЭ по биологии, информатике, литературе, математике профильного уровня, физике составляет 3 часа 55 минут (235 минут); по истории, обществознанию, русскому языку, химии - 3 часа 30 минут (210 минут); по иностранным языкам (английский, испанский, немецкий, французский) (письменная часть) - 3 часа 10 минут (190 минут); по географии, иностранному языку (китайский) (письменная часть), математике базового уровня - 3 часа (180 минут); по иностранным языкам (английский, испанский, немецкий, французский) (устная часть) - 17 минут; по иностранному языку (китайский) (устная часть) - 14 минут.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Участники экзаменов используют средства обучения и воспитания для выполнения заданий контрольных измерительных материалов (далее - КИМ) в аудиториях пункта проведения экзаменов.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Допускается использование участниками экзаменов следующих средств обучения и воспитания по соответствующим учебным предметам: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биологии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географии - непрограммируемый калькулятор;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иностранным языкам (английский, испанский, китайский, немецкий, французский)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сети "Интернет"; аудиогарнитура для выполнения заданий КИМ, предусматривающих устные ответы;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литературе - орфографический словарь, позволяющий устанавливать нормативное написание слов;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математике - линейка, не содержащая справочной информации (далее - линейка), для построения чертежей и рисунков;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физике - линейка для построения графиков и схем; непрограммируемый калькулятор;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день проведения ЕГЭ на средствах обучения и воспитания не допускается делать пометки, относящиеся к содержанию заданий КИМ по учебным предметам.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Признать утратившими силу:</w:t>
      </w:r>
    </w:p>
    <w:p>
      <w:pPr>
        <w:pStyle w:val="0"/>
        <w:spacing w:before="240" w:line-rule="auto"/>
        <w:ind w:firstLine="540"/>
        <w:jc w:val="both"/>
      </w:pPr>
      <w:hyperlink w:history="0" r:id="rId19" w:tooltip="Приказ Минпросвещения России N 953, Рособрнадзора N 2116 от 18.12.2023 (ред. от 20.05.2024) &quot;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&quot; (Зарегистрировано в Минюсте России 29.12.2023 N 76764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просвещения Российской Федерации и Федеральной службы по надзору в сфере образования и науки от 18 декабря 2023 г. N 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 (зарегистрирован Министерством юстиции Российской Федерации 29 декабря 2023 г., регистрационный N 76764);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Приказ Минпросвещения России N 244, Рособрнадзора N 803 от 12.04.2024 признан утратившим силу </w:t>
            </w:r>
            <w:hyperlink w:history="0" r:id="rId20" w:tooltip="Приказ Минпросвещения России N 789, Рособрнадзора N 2091 от 11.11.2024 &quot;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5 году&quot; (Зарегистрировано в Минюсте России 10.12.2024 N 80512) {КонсультантПлюс}">
              <w:r>
                <w:rPr>
                  <w:sz w:val="24"/>
                  <w:color w:val="0000ff"/>
                </w:rPr>
                <w:t xml:space="preserve">Приказом</w:t>
              </w:r>
            </w:hyperlink>
            <w:r>
              <w:rPr>
                <w:sz w:val="24"/>
                <w:color w:val="392c69"/>
              </w:rPr>
              <w:t xml:space="preserve"> Минпросвещения России N 789, Рособрнадзора N 2091 от 11.11.2024.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hyperlink w:history="0" r:id="rId21" w:tooltip="Приказ Минпросвещения России N 244, Рособрнадзора N 803 от 12.04.2024 &quot;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&quot; (Зарегистрировано в Минюсте России 19.04.2024 N 77937) ------------ Утратил силу или отменен {КонсультантПлюс}">
        <w:r>
          <w:rPr>
            <w:sz w:val="24"/>
            <w:color w:val="0000ff"/>
          </w:rPr>
          <w:t xml:space="preserve">пункт 1</w:t>
        </w:r>
      </w:hyperlink>
      <w:r>
        <w:rPr>
          <w:sz w:val="24"/>
        </w:rPr>
        <w:t xml:space="preserve"> изменений, которые вносятся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955/2118, утвержденных приказом Министерства просвещения Российской Федерации и Федеральной службы по надзору в сфере образования и науки от 12 апреля 2024 г. N 244/803 (зарегистрирован Министерством юстиции Российской Федерации 19 апреля 2024 г., регистрационный N 77937);</w:t>
      </w:r>
    </w:p>
    <w:p>
      <w:pPr>
        <w:pStyle w:val="0"/>
        <w:spacing w:before="240" w:line-rule="auto"/>
        <w:ind w:firstLine="540"/>
        <w:jc w:val="both"/>
      </w:pPr>
      <w:hyperlink w:history="0" r:id="rId22" w:tooltip="Приказ Минпросвещения России N 338, Рособрнадзора N 1071 от 20.05.2024 &quot;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8 декабря 2023 г. N 953/2116 &quot;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&quot; (Зарегистрировано в Минюсте Р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просвещения Российской Федерации и Федеральной службы по надзору в сфере образования и науки от 20 мая 2024 г. N 338/1071 "О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18 декабря 2023 г. N 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 (зарегистрирован Министерством юстиции Российской Федерации 21 мая 2024 г., регистрационный N 78212).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 просвещения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С.С.КРАВЦОВ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Руководитель</w:t>
      </w:r>
    </w:p>
    <w:p>
      <w:pPr>
        <w:pStyle w:val="0"/>
        <w:jc w:val="right"/>
      </w:pPr>
      <w:r>
        <w:rPr>
          <w:sz w:val="24"/>
        </w:rPr>
        <w:t xml:space="preserve">Федеральной службы по надзору</w:t>
      </w:r>
    </w:p>
    <w:p>
      <w:pPr>
        <w:pStyle w:val="0"/>
        <w:jc w:val="right"/>
      </w:pPr>
      <w:r>
        <w:rPr>
          <w:sz w:val="24"/>
        </w:rPr>
        <w:t xml:space="preserve">в сфере образования и науки</w:t>
      </w:r>
    </w:p>
    <w:p>
      <w:pPr>
        <w:pStyle w:val="0"/>
        <w:jc w:val="right"/>
      </w:pPr>
      <w:r>
        <w:rPr>
          <w:sz w:val="24"/>
        </w:rPr>
        <w:t xml:space="preserve">А.А.МУЗАЕВ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N 787, Рособрнадзора N 2089 от 11.11.2024</w:t>
            <w:br/>
            <w:t>"Об утверждении единого расписания и продолжитель...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Минпросвещения России N 787, Рособрнадзора N 2089 от 11.11.2024 "Об утверждении единого расписания и продолжитель...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95182&amp;date=23.04.2025&amp;dst=245&amp;field=134" TargetMode = "External"/>
	<Relationship Id="rId7" Type="http://schemas.openxmlformats.org/officeDocument/2006/relationships/hyperlink" Target="https://login.consultant.ru/link/?req=doc&amp;base=LAW&amp;n=499281&amp;date=23.04.2025&amp;dst=10&amp;field=134" TargetMode = "External"/>
	<Relationship Id="rId8" Type="http://schemas.openxmlformats.org/officeDocument/2006/relationships/hyperlink" Target="https://login.consultant.ru/link/?req=doc&amp;base=LAW&amp;n=500550&amp;date=23.04.2025&amp;dst=2&amp;field=134" TargetMode = "External"/>
	<Relationship Id="rId9" Type="http://schemas.openxmlformats.org/officeDocument/2006/relationships/hyperlink" Target="https://login.consultant.ru/link/?req=doc&amp;base=LAW&amp;n=475036&amp;date=23.04.2025&amp;dst=100026&amp;field=134" TargetMode = "External"/>
	<Relationship Id="rId10" Type="http://schemas.openxmlformats.org/officeDocument/2006/relationships/hyperlink" Target="https://login.consultant.ru/link/?req=doc&amp;base=LAW&amp;n=475036&amp;date=23.04.2025&amp;dst=100040&amp;field=134" TargetMode = "External"/>
	<Relationship Id="rId11" Type="http://schemas.openxmlformats.org/officeDocument/2006/relationships/hyperlink" Target="https://login.consultant.ru/link/?req=doc&amp;base=LAW&amp;n=475036&amp;date=23.04.2025&amp;dst=100070&amp;field=134" TargetMode = "External"/>
	<Relationship Id="rId12" Type="http://schemas.openxmlformats.org/officeDocument/2006/relationships/hyperlink" Target="https://login.consultant.ru/link/?req=doc&amp;base=LAW&amp;n=475036&amp;date=23.04.2025&amp;dst=100336&amp;field=134" TargetMode = "External"/>
	<Relationship Id="rId13" Type="http://schemas.openxmlformats.org/officeDocument/2006/relationships/hyperlink" Target="https://login.consultant.ru/link/?req=doc&amp;base=LAW&amp;n=475036&amp;date=23.04.2025&amp;dst=100352&amp;field=134" TargetMode = "External"/>
	<Relationship Id="rId14" Type="http://schemas.openxmlformats.org/officeDocument/2006/relationships/hyperlink" Target="https://login.consultant.ru/link/?req=doc&amp;base=LAW&amp;n=475036&amp;date=23.04.2025&amp;dst=100601&amp;field=134" TargetMode = "External"/>
	<Relationship Id="rId15" Type="http://schemas.openxmlformats.org/officeDocument/2006/relationships/hyperlink" Target="https://login.consultant.ru/link/?req=doc&amp;base=LAW&amp;n=475036&amp;date=23.04.2025&amp;dst=100337&amp;field=134" TargetMode = "External"/>
	<Relationship Id="rId16" Type="http://schemas.openxmlformats.org/officeDocument/2006/relationships/hyperlink" Target="https://login.consultant.ru/link/?req=doc&amp;base=LAW&amp;n=475036&amp;date=23.04.2025&amp;dst=100338&amp;field=134" TargetMode = "External"/>
	<Relationship Id="rId17" Type="http://schemas.openxmlformats.org/officeDocument/2006/relationships/hyperlink" Target="https://login.consultant.ru/link/?req=doc&amp;base=LAW&amp;n=475036&amp;date=23.04.2025&amp;dst=100610&amp;field=134" TargetMode = "External"/>
	<Relationship Id="rId18" Type="http://schemas.openxmlformats.org/officeDocument/2006/relationships/hyperlink" Target="https://login.consultant.ru/link/?req=doc&amp;base=LAW&amp;n=475036&amp;date=23.04.2025&amp;dst=5&amp;field=134" TargetMode = "External"/>
	<Relationship Id="rId19" Type="http://schemas.openxmlformats.org/officeDocument/2006/relationships/hyperlink" Target="https://login.consultant.ru/link/?req=doc&amp;base=LAW&amp;n=476869&amp;date=23.04.2025" TargetMode = "External"/>
	<Relationship Id="rId20" Type="http://schemas.openxmlformats.org/officeDocument/2006/relationships/hyperlink" Target="https://login.consultant.ru/link/?req=doc&amp;base=LAW&amp;n=492884&amp;date=23.04.2025&amp;dst=100090&amp;field=134" TargetMode = "External"/>
	<Relationship Id="rId21" Type="http://schemas.openxmlformats.org/officeDocument/2006/relationships/hyperlink" Target="https://login.consultant.ru/link/?req=doc&amp;base=LAW&amp;n=475007&amp;date=23.04.2025&amp;dst=100012&amp;field=134" TargetMode = "External"/>
	<Relationship Id="rId22" Type="http://schemas.openxmlformats.org/officeDocument/2006/relationships/hyperlink" Target="https://login.consultant.ru/link/?req=doc&amp;base=LAW&amp;n=476819&amp;date=23.04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N 787, Рособрнадзора N 2089 от 11.11.2024
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году"
(Зарегистрировано в Минюсте России 10.12.2024 N 80515)</dc:title>
  <dcterms:created xsi:type="dcterms:W3CDTF">2025-04-23T13:42:27Z</dcterms:created>
</cp:coreProperties>
</file>